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B6C6" w14:textId="77777777" w:rsidR="00E83DD3" w:rsidRDefault="00E8530B" w:rsidP="003157EC">
      <w:pPr>
        <w:pStyle w:val="ListParagraph"/>
        <w:numPr>
          <w:ilvl w:val="0"/>
          <w:numId w:val="1"/>
        </w:numPr>
        <w:tabs>
          <w:tab w:val="left" w:pos="582"/>
        </w:tabs>
        <w:spacing w:before="240"/>
        <w:ind w:right="232"/>
      </w:pPr>
      <w:r>
        <w:t xml:space="preserve">Over the course of 22 February 2022 to 7 March 2022, South East Queensland experienced a significant rainfall and flooding event. Intense rainfall led to flash flooding and riverine flooding across large areas of South East Queensland and the Sunshine </w:t>
      </w:r>
      <w:r>
        <w:rPr>
          <w:spacing w:val="-2"/>
        </w:rPr>
        <w:t>Coast.</w:t>
      </w:r>
    </w:p>
    <w:p w14:paraId="0ED3B6C8" w14:textId="77777777" w:rsidR="00E83DD3" w:rsidRDefault="00E8530B" w:rsidP="003157EC">
      <w:pPr>
        <w:pStyle w:val="ListParagraph"/>
        <w:numPr>
          <w:ilvl w:val="0"/>
          <w:numId w:val="1"/>
        </w:numPr>
        <w:tabs>
          <w:tab w:val="left" w:pos="582"/>
        </w:tabs>
        <w:spacing w:before="240"/>
        <w:ind w:right="231"/>
      </w:pPr>
      <w:r>
        <w:t>It is estimated that approximately one-tenth of the state’s total population were directly affected in some way. Tragically 13 people lost their lives during the event. The event placed considerable and complex demands on emergency services and disaster management stakeholders.</w:t>
      </w:r>
    </w:p>
    <w:p w14:paraId="0ED3B6CA" w14:textId="77777777" w:rsidR="00E83DD3" w:rsidRDefault="00E8530B" w:rsidP="003157EC">
      <w:pPr>
        <w:pStyle w:val="ListParagraph"/>
        <w:numPr>
          <w:ilvl w:val="0"/>
          <w:numId w:val="1"/>
        </w:numPr>
        <w:tabs>
          <w:tab w:val="left" w:pos="582"/>
        </w:tabs>
        <w:spacing w:before="240"/>
        <w:ind w:right="232"/>
      </w:pPr>
      <w:r>
        <w:t>On 15 March 2022, the Premier and Minister for the Olympics announced the Office of</w:t>
      </w:r>
      <w:r>
        <w:rPr>
          <w:spacing w:val="40"/>
        </w:rPr>
        <w:t xml:space="preserve"> </w:t>
      </w:r>
      <w:r>
        <w:t>the Inspector-General of Emergency Management (IGEM) would undertake a review of the South East Queensland (SEQ) Rainfall and Flooding Event in February-March 2022 (the Review).</w:t>
      </w:r>
    </w:p>
    <w:p w14:paraId="0ED3B6CC" w14:textId="77777777" w:rsidR="00E83DD3" w:rsidRDefault="00E8530B" w:rsidP="003157EC">
      <w:pPr>
        <w:pStyle w:val="ListParagraph"/>
        <w:numPr>
          <w:ilvl w:val="0"/>
          <w:numId w:val="1"/>
        </w:numPr>
        <w:tabs>
          <w:tab w:val="left" w:pos="582"/>
        </w:tabs>
        <w:spacing w:before="240"/>
        <w:ind w:right="231" w:hanging="361"/>
      </w:pPr>
      <w:r>
        <w:t xml:space="preserve">The Review acknowledges that steps have been made to identify risks and educate </w:t>
      </w:r>
      <w:r>
        <w:rPr>
          <w:spacing w:val="-2"/>
        </w:rPr>
        <w:t>communities</w:t>
      </w:r>
      <w:r>
        <w:rPr>
          <w:spacing w:val="-11"/>
        </w:rPr>
        <w:t xml:space="preserve"> </w:t>
      </w:r>
      <w:r>
        <w:rPr>
          <w:spacing w:val="-2"/>
        </w:rPr>
        <w:t>but</w:t>
      </w:r>
      <w:r>
        <w:rPr>
          <w:spacing w:val="-11"/>
        </w:rPr>
        <w:t xml:space="preserve"> </w:t>
      </w:r>
      <w:r>
        <w:rPr>
          <w:spacing w:val="-2"/>
        </w:rPr>
        <w:t>suggests</w:t>
      </w:r>
      <w:r>
        <w:rPr>
          <w:spacing w:val="-12"/>
        </w:rPr>
        <w:t xml:space="preserve"> </w:t>
      </w:r>
      <w:r>
        <w:rPr>
          <w:spacing w:val="-2"/>
        </w:rPr>
        <w:t>that</w:t>
      </w:r>
      <w:r>
        <w:rPr>
          <w:spacing w:val="-11"/>
        </w:rPr>
        <w:t xml:space="preserve"> </w:t>
      </w:r>
      <w:r>
        <w:rPr>
          <w:spacing w:val="-2"/>
        </w:rPr>
        <w:t>further</w:t>
      </w:r>
      <w:r>
        <w:rPr>
          <w:spacing w:val="-10"/>
        </w:rPr>
        <w:t xml:space="preserve"> </w:t>
      </w:r>
      <w:r>
        <w:rPr>
          <w:spacing w:val="-2"/>
        </w:rPr>
        <w:t>work</w:t>
      </w:r>
      <w:r>
        <w:rPr>
          <w:spacing w:val="-11"/>
        </w:rPr>
        <w:t xml:space="preserve"> </w:t>
      </w:r>
      <w:r>
        <w:rPr>
          <w:spacing w:val="-2"/>
        </w:rPr>
        <w:t>needs</w:t>
      </w:r>
      <w:r>
        <w:rPr>
          <w:spacing w:val="-11"/>
        </w:rPr>
        <w:t xml:space="preserve"> </w:t>
      </w:r>
      <w:r>
        <w:rPr>
          <w:spacing w:val="-2"/>
        </w:rPr>
        <w:t>to</w:t>
      </w:r>
      <w:r>
        <w:rPr>
          <w:spacing w:val="-11"/>
        </w:rPr>
        <w:t xml:space="preserve"> </w:t>
      </w:r>
      <w:r>
        <w:rPr>
          <w:spacing w:val="-2"/>
        </w:rPr>
        <w:t>be</w:t>
      </w:r>
      <w:r>
        <w:rPr>
          <w:spacing w:val="-11"/>
        </w:rPr>
        <w:t xml:space="preserve"> </w:t>
      </w:r>
      <w:r>
        <w:rPr>
          <w:spacing w:val="-2"/>
        </w:rPr>
        <w:t>done</w:t>
      </w:r>
      <w:r>
        <w:rPr>
          <w:spacing w:val="-11"/>
        </w:rPr>
        <w:t xml:space="preserve"> </w:t>
      </w:r>
      <w:r>
        <w:rPr>
          <w:spacing w:val="-2"/>
        </w:rPr>
        <w:t>by</w:t>
      </w:r>
      <w:r>
        <w:rPr>
          <w:spacing w:val="-12"/>
        </w:rPr>
        <w:t xml:space="preserve"> </w:t>
      </w:r>
      <w:r>
        <w:rPr>
          <w:spacing w:val="-2"/>
        </w:rPr>
        <w:t>entities</w:t>
      </w:r>
      <w:r>
        <w:rPr>
          <w:spacing w:val="-11"/>
        </w:rPr>
        <w:t xml:space="preserve"> </w:t>
      </w:r>
      <w:r>
        <w:rPr>
          <w:spacing w:val="-2"/>
        </w:rPr>
        <w:t>and</w:t>
      </w:r>
      <w:r>
        <w:rPr>
          <w:spacing w:val="-12"/>
        </w:rPr>
        <w:t xml:space="preserve"> </w:t>
      </w:r>
      <w:r>
        <w:rPr>
          <w:spacing w:val="-2"/>
        </w:rPr>
        <w:t>communities</w:t>
      </w:r>
      <w:r>
        <w:rPr>
          <w:spacing w:val="-11"/>
        </w:rPr>
        <w:t xml:space="preserve"> </w:t>
      </w:r>
      <w:r>
        <w:rPr>
          <w:spacing w:val="-2"/>
        </w:rPr>
        <w:t>to ensure</w:t>
      </w:r>
      <w:r>
        <w:rPr>
          <w:spacing w:val="-11"/>
        </w:rPr>
        <w:t xml:space="preserve"> </w:t>
      </w:r>
      <w:r>
        <w:rPr>
          <w:spacing w:val="-2"/>
        </w:rPr>
        <w:t>there</w:t>
      </w:r>
      <w:r>
        <w:rPr>
          <w:spacing w:val="-10"/>
        </w:rPr>
        <w:t xml:space="preserve"> </w:t>
      </w:r>
      <w:r>
        <w:rPr>
          <w:spacing w:val="-2"/>
        </w:rPr>
        <w:t>is</w:t>
      </w:r>
      <w:r>
        <w:rPr>
          <w:spacing w:val="-10"/>
        </w:rPr>
        <w:t xml:space="preserve"> </w:t>
      </w:r>
      <w:r>
        <w:rPr>
          <w:spacing w:val="-2"/>
        </w:rPr>
        <w:t>a</w:t>
      </w:r>
      <w:r>
        <w:rPr>
          <w:spacing w:val="-11"/>
        </w:rPr>
        <w:t xml:space="preserve"> </w:t>
      </w:r>
      <w:r>
        <w:rPr>
          <w:spacing w:val="-2"/>
        </w:rPr>
        <w:t>shared</w:t>
      </w:r>
      <w:r>
        <w:rPr>
          <w:spacing w:val="-10"/>
        </w:rPr>
        <w:t xml:space="preserve"> </w:t>
      </w:r>
      <w:r>
        <w:rPr>
          <w:spacing w:val="-2"/>
        </w:rPr>
        <w:t>understanding</w:t>
      </w:r>
      <w:r>
        <w:rPr>
          <w:spacing w:val="-10"/>
        </w:rPr>
        <w:t xml:space="preserve"> </w:t>
      </w:r>
      <w:r>
        <w:rPr>
          <w:spacing w:val="-2"/>
        </w:rPr>
        <w:t>of</w:t>
      </w:r>
      <w:r>
        <w:rPr>
          <w:spacing w:val="-10"/>
        </w:rPr>
        <w:t xml:space="preserve"> </w:t>
      </w:r>
      <w:r>
        <w:rPr>
          <w:spacing w:val="-2"/>
        </w:rPr>
        <w:t>the</w:t>
      </w:r>
      <w:r>
        <w:rPr>
          <w:spacing w:val="-10"/>
        </w:rPr>
        <w:t xml:space="preserve"> </w:t>
      </w:r>
      <w:r>
        <w:rPr>
          <w:spacing w:val="-2"/>
        </w:rPr>
        <w:t>flood</w:t>
      </w:r>
      <w:r>
        <w:rPr>
          <w:spacing w:val="-10"/>
        </w:rPr>
        <w:t xml:space="preserve"> </w:t>
      </w:r>
      <w:r>
        <w:rPr>
          <w:spacing w:val="-2"/>
        </w:rPr>
        <w:t>risks</w:t>
      </w:r>
      <w:r>
        <w:rPr>
          <w:spacing w:val="-11"/>
        </w:rPr>
        <w:t xml:space="preserve"> </w:t>
      </w:r>
      <w:r>
        <w:rPr>
          <w:spacing w:val="-2"/>
        </w:rPr>
        <w:t>in</w:t>
      </w:r>
      <w:r>
        <w:rPr>
          <w:spacing w:val="-10"/>
        </w:rPr>
        <w:t xml:space="preserve"> </w:t>
      </w:r>
      <w:r>
        <w:rPr>
          <w:spacing w:val="-2"/>
        </w:rPr>
        <w:t>Queensland.</w:t>
      </w:r>
      <w:r>
        <w:rPr>
          <w:spacing w:val="-9"/>
        </w:rPr>
        <w:t xml:space="preserve"> </w:t>
      </w:r>
      <w:r>
        <w:rPr>
          <w:spacing w:val="-2"/>
        </w:rPr>
        <w:t>A</w:t>
      </w:r>
      <w:r>
        <w:rPr>
          <w:spacing w:val="-12"/>
        </w:rPr>
        <w:t xml:space="preserve"> </w:t>
      </w:r>
      <w:r>
        <w:rPr>
          <w:spacing w:val="-2"/>
        </w:rPr>
        <w:t>large</w:t>
      </w:r>
      <w:r>
        <w:rPr>
          <w:spacing w:val="-10"/>
        </w:rPr>
        <w:t xml:space="preserve"> </w:t>
      </w:r>
      <w:r>
        <w:rPr>
          <w:spacing w:val="-2"/>
        </w:rPr>
        <w:t>focus</w:t>
      </w:r>
      <w:r>
        <w:rPr>
          <w:spacing w:val="-11"/>
        </w:rPr>
        <w:t xml:space="preserve"> </w:t>
      </w:r>
      <w:r>
        <w:rPr>
          <w:spacing w:val="-2"/>
        </w:rPr>
        <w:t>of</w:t>
      </w:r>
      <w:r>
        <w:rPr>
          <w:spacing w:val="-11"/>
        </w:rPr>
        <w:t xml:space="preserve"> </w:t>
      </w:r>
      <w:r>
        <w:rPr>
          <w:spacing w:val="-2"/>
        </w:rPr>
        <w:t>the Review</w:t>
      </w:r>
      <w:r>
        <w:rPr>
          <w:spacing w:val="-11"/>
        </w:rPr>
        <w:t xml:space="preserve"> </w:t>
      </w:r>
      <w:r>
        <w:rPr>
          <w:spacing w:val="-2"/>
        </w:rPr>
        <w:t>and</w:t>
      </w:r>
      <w:r>
        <w:rPr>
          <w:spacing w:val="-10"/>
        </w:rPr>
        <w:t xml:space="preserve"> </w:t>
      </w:r>
      <w:r>
        <w:rPr>
          <w:spacing w:val="-2"/>
        </w:rPr>
        <w:t>its</w:t>
      </w:r>
      <w:r>
        <w:rPr>
          <w:spacing w:val="-10"/>
        </w:rPr>
        <w:t xml:space="preserve"> </w:t>
      </w:r>
      <w:r>
        <w:rPr>
          <w:spacing w:val="-2"/>
        </w:rPr>
        <w:t>recommendations</w:t>
      </w:r>
      <w:r>
        <w:rPr>
          <w:spacing w:val="-10"/>
        </w:rPr>
        <w:t xml:space="preserve"> </w:t>
      </w:r>
      <w:r>
        <w:rPr>
          <w:spacing w:val="-2"/>
        </w:rPr>
        <w:t>relate</w:t>
      </w:r>
      <w:r>
        <w:rPr>
          <w:spacing w:val="-10"/>
        </w:rPr>
        <w:t xml:space="preserve"> </w:t>
      </w:r>
      <w:r>
        <w:rPr>
          <w:spacing w:val="-2"/>
        </w:rPr>
        <w:t>to</w:t>
      </w:r>
      <w:r>
        <w:rPr>
          <w:spacing w:val="-10"/>
        </w:rPr>
        <w:t xml:space="preserve"> </w:t>
      </w:r>
      <w:r>
        <w:rPr>
          <w:spacing w:val="-2"/>
        </w:rPr>
        <w:t>the</w:t>
      </w:r>
      <w:r>
        <w:rPr>
          <w:spacing w:val="-10"/>
        </w:rPr>
        <w:t xml:space="preserve"> </w:t>
      </w:r>
      <w:r>
        <w:rPr>
          <w:spacing w:val="-2"/>
        </w:rPr>
        <w:t>use</w:t>
      </w:r>
      <w:r>
        <w:rPr>
          <w:spacing w:val="-10"/>
        </w:rPr>
        <w:t xml:space="preserve"> </w:t>
      </w:r>
      <w:r>
        <w:rPr>
          <w:spacing w:val="-2"/>
        </w:rPr>
        <w:t>of</w:t>
      </w:r>
      <w:r>
        <w:rPr>
          <w:spacing w:val="-9"/>
        </w:rPr>
        <w:t xml:space="preserve"> </w:t>
      </w:r>
      <w:r>
        <w:rPr>
          <w:spacing w:val="-2"/>
        </w:rPr>
        <w:t>warnings</w:t>
      </w:r>
      <w:r>
        <w:rPr>
          <w:spacing w:val="-9"/>
        </w:rPr>
        <w:t xml:space="preserve"> </w:t>
      </w:r>
      <w:r>
        <w:rPr>
          <w:spacing w:val="-2"/>
        </w:rPr>
        <w:t>and</w:t>
      </w:r>
      <w:r>
        <w:rPr>
          <w:spacing w:val="-10"/>
        </w:rPr>
        <w:t xml:space="preserve"> </w:t>
      </w:r>
      <w:r>
        <w:rPr>
          <w:spacing w:val="-2"/>
        </w:rPr>
        <w:t>alerts</w:t>
      </w:r>
      <w:r>
        <w:rPr>
          <w:spacing w:val="-10"/>
        </w:rPr>
        <w:t xml:space="preserve"> </w:t>
      </w:r>
      <w:r>
        <w:rPr>
          <w:spacing w:val="-2"/>
        </w:rPr>
        <w:t>for</w:t>
      </w:r>
      <w:r>
        <w:rPr>
          <w:spacing w:val="-12"/>
        </w:rPr>
        <w:t xml:space="preserve"> </w:t>
      </w:r>
      <w:r>
        <w:rPr>
          <w:spacing w:val="-2"/>
        </w:rPr>
        <w:t>the</w:t>
      </w:r>
      <w:r>
        <w:rPr>
          <w:spacing w:val="-10"/>
        </w:rPr>
        <w:t xml:space="preserve"> </w:t>
      </w:r>
      <w:r>
        <w:rPr>
          <w:spacing w:val="-2"/>
        </w:rPr>
        <w:t>community.</w:t>
      </w:r>
    </w:p>
    <w:p w14:paraId="0ED3B6CE" w14:textId="77777777" w:rsidR="00E83DD3" w:rsidRDefault="00E8530B" w:rsidP="003157EC">
      <w:pPr>
        <w:pStyle w:val="ListParagraph"/>
        <w:numPr>
          <w:ilvl w:val="0"/>
          <w:numId w:val="1"/>
        </w:numPr>
        <w:tabs>
          <w:tab w:val="left" w:pos="582"/>
        </w:tabs>
        <w:spacing w:before="240"/>
        <w:ind w:right="228" w:hanging="361"/>
      </w:pPr>
      <w:r>
        <w:rPr>
          <w:spacing w:val="-2"/>
        </w:rPr>
        <w:t>The</w:t>
      </w:r>
      <w:r>
        <w:rPr>
          <w:spacing w:val="-8"/>
        </w:rPr>
        <w:t xml:space="preserve"> </w:t>
      </w:r>
      <w:r>
        <w:rPr>
          <w:spacing w:val="-2"/>
        </w:rPr>
        <w:t>Review</w:t>
      </w:r>
      <w:r>
        <w:rPr>
          <w:spacing w:val="-8"/>
        </w:rPr>
        <w:t xml:space="preserve"> </w:t>
      </w:r>
      <w:r>
        <w:rPr>
          <w:spacing w:val="-2"/>
        </w:rPr>
        <w:t>found</w:t>
      </w:r>
      <w:r>
        <w:rPr>
          <w:spacing w:val="-9"/>
        </w:rPr>
        <w:t xml:space="preserve"> </w:t>
      </w:r>
      <w:r>
        <w:rPr>
          <w:spacing w:val="-2"/>
        </w:rPr>
        <w:t>that</w:t>
      </w:r>
      <w:r>
        <w:rPr>
          <w:spacing w:val="-9"/>
        </w:rPr>
        <w:t xml:space="preserve"> </w:t>
      </w:r>
      <w:r>
        <w:rPr>
          <w:spacing w:val="-2"/>
        </w:rPr>
        <w:t>information</w:t>
      </w:r>
      <w:r>
        <w:rPr>
          <w:spacing w:val="-9"/>
        </w:rPr>
        <w:t xml:space="preserve"> </w:t>
      </w:r>
      <w:r>
        <w:rPr>
          <w:spacing w:val="-2"/>
        </w:rPr>
        <w:t>flow</w:t>
      </w:r>
      <w:r>
        <w:rPr>
          <w:spacing w:val="-9"/>
        </w:rPr>
        <w:t xml:space="preserve"> </w:t>
      </w:r>
      <w:r>
        <w:rPr>
          <w:spacing w:val="-2"/>
        </w:rPr>
        <w:t>and</w:t>
      </w:r>
      <w:r>
        <w:rPr>
          <w:spacing w:val="-9"/>
        </w:rPr>
        <w:t xml:space="preserve"> </w:t>
      </w:r>
      <w:r>
        <w:rPr>
          <w:spacing w:val="-2"/>
        </w:rPr>
        <w:t>cooperation</w:t>
      </w:r>
      <w:r>
        <w:rPr>
          <w:spacing w:val="-9"/>
        </w:rPr>
        <w:t xml:space="preserve"> </w:t>
      </w:r>
      <w:r>
        <w:rPr>
          <w:spacing w:val="-2"/>
        </w:rPr>
        <w:t>during</w:t>
      </w:r>
      <w:r>
        <w:rPr>
          <w:spacing w:val="-9"/>
        </w:rPr>
        <w:t xml:space="preserve"> </w:t>
      </w:r>
      <w:r>
        <w:rPr>
          <w:spacing w:val="-2"/>
        </w:rPr>
        <w:t>the</w:t>
      </w:r>
      <w:r>
        <w:rPr>
          <w:spacing w:val="-9"/>
        </w:rPr>
        <w:t xml:space="preserve"> </w:t>
      </w:r>
      <w:r>
        <w:rPr>
          <w:spacing w:val="-2"/>
        </w:rPr>
        <w:t>event</w:t>
      </w:r>
      <w:r>
        <w:rPr>
          <w:spacing w:val="-7"/>
        </w:rPr>
        <w:t xml:space="preserve"> </w:t>
      </w:r>
      <w:r>
        <w:rPr>
          <w:spacing w:val="-2"/>
        </w:rPr>
        <w:t>was</w:t>
      </w:r>
      <w:r>
        <w:rPr>
          <w:spacing w:val="-9"/>
        </w:rPr>
        <w:t xml:space="preserve"> </w:t>
      </w:r>
      <w:r>
        <w:rPr>
          <w:spacing w:val="-2"/>
        </w:rPr>
        <w:t>good</w:t>
      </w:r>
      <w:r>
        <w:rPr>
          <w:spacing w:val="-9"/>
        </w:rPr>
        <w:t xml:space="preserve"> </w:t>
      </w:r>
      <w:r>
        <w:rPr>
          <w:spacing w:val="-2"/>
        </w:rPr>
        <w:t>and</w:t>
      </w:r>
      <w:r>
        <w:rPr>
          <w:spacing w:val="-9"/>
        </w:rPr>
        <w:t xml:space="preserve"> </w:t>
      </w:r>
      <w:r>
        <w:rPr>
          <w:spacing w:val="-2"/>
        </w:rPr>
        <w:t xml:space="preserve">that </w:t>
      </w:r>
      <w:r>
        <w:t>Queensland disaster management entities on the whole have a culture of sharing knowledge,</w:t>
      </w:r>
      <w:r>
        <w:rPr>
          <w:spacing w:val="-5"/>
        </w:rPr>
        <w:t xml:space="preserve"> </w:t>
      </w:r>
      <w:r>
        <w:t>information</w:t>
      </w:r>
      <w:r>
        <w:rPr>
          <w:spacing w:val="-5"/>
        </w:rPr>
        <w:t xml:space="preserve"> </w:t>
      </w:r>
      <w:r>
        <w:t>and</w:t>
      </w:r>
      <w:r>
        <w:rPr>
          <w:spacing w:val="-5"/>
        </w:rPr>
        <w:t xml:space="preserve"> </w:t>
      </w:r>
      <w:r>
        <w:t>resources</w:t>
      </w:r>
      <w:r>
        <w:rPr>
          <w:spacing w:val="-5"/>
        </w:rPr>
        <w:t xml:space="preserve"> </w:t>
      </w:r>
      <w:r>
        <w:t>such</w:t>
      </w:r>
      <w:r>
        <w:rPr>
          <w:spacing w:val="-6"/>
        </w:rPr>
        <w:t xml:space="preserve"> </w:t>
      </w:r>
      <w:r>
        <w:t>as</w:t>
      </w:r>
      <w:r>
        <w:rPr>
          <w:spacing w:val="-4"/>
        </w:rPr>
        <w:t xml:space="preserve"> </w:t>
      </w:r>
      <w:r>
        <w:t>staff</w:t>
      </w:r>
      <w:r>
        <w:rPr>
          <w:spacing w:val="-5"/>
        </w:rPr>
        <w:t xml:space="preserve"> </w:t>
      </w:r>
      <w:r>
        <w:t>and</w:t>
      </w:r>
      <w:r>
        <w:rPr>
          <w:spacing w:val="-5"/>
        </w:rPr>
        <w:t xml:space="preserve"> </w:t>
      </w:r>
      <w:r>
        <w:t>equipment.</w:t>
      </w:r>
      <w:r>
        <w:rPr>
          <w:spacing w:val="-4"/>
        </w:rPr>
        <w:t xml:space="preserve"> </w:t>
      </w:r>
      <w:r>
        <w:t>However,</w:t>
      </w:r>
      <w:r>
        <w:rPr>
          <w:spacing w:val="-5"/>
        </w:rPr>
        <w:t xml:space="preserve"> </w:t>
      </w:r>
      <w:r>
        <w:t>the</w:t>
      </w:r>
      <w:r>
        <w:rPr>
          <w:spacing w:val="-5"/>
        </w:rPr>
        <w:t xml:space="preserve"> </w:t>
      </w:r>
      <w:r>
        <w:t xml:space="preserve">Review identified that there is opportunity to enhance systems connectivity and interoperability to support incident management and provide relevant agencies with a common operating </w:t>
      </w:r>
      <w:r>
        <w:rPr>
          <w:spacing w:val="-2"/>
        </w:rPr>
        <w:t>picture.</w:t>
      </w:r>
    </w:p>
    <w:p w14:paraId="0ED3B6D0" w14:textId="3AB31F97" w:rsidR="00E83DD3" w:rsidRDefault="00E8530B" w:rsidP="003157EC">
      <w:pPr>
        <w:pStyle w:val="ListParagraph"/>
        <w:numPr>
          <w:ilvl w:val="0"/>
          <w:numId w:val="1"/>
        </w:numPr>
        <w:tabs>
          <w:tab w:val="left" w:pos="583"/>
        </w:tabs>
        <w:spacing w:before="240"/>
        <w:ind w:left="582" w:hanging="361"/>
      </w:pPr>
      <w:r>
        <w:t xml:space="preserve">There are 19 recommendations, 13 recommendations are directed at Queensland Fire and Emergency Services, one recommendation for the Queensland Reconstruction Authority and the Bureau of Meteorology, three for local governments, one recommendation for the Department of Regional Development, Manufacturing and Water and one recommendation that the Office monitor, evaluate and report on progress and implementation for those recommendations that are accepted in whole or part by </w:t>
      </w:r>
      <w:r>
        <w:rPr>
          <w:spacing w:val="-2"/>
        </w:rPr>
        <w:t>Government</w:t>
      </w:r>
      <w:r w:rsidR="00491F97">
        <w:rPr>
          <w:spacing w:val="-2"/>
        </w:rPr>
        <w:t>.</w:t>
      </w:r>
    </w:p>
    <w:p w14:paraId="5D4EF610" w14:textId="7EFA0C63" w:rsidR="00491F97" w:rsidRPr="00491F97" w:rsidRDefault="00491F97" w:rsidP="003157EC">
      <w:pPr>
        <w:pStyle w:val="ListParagraph"/>
        <w:numPr>
          <w:ilvl w:val="0"/>
          <w:numId w:val="1"/>
        </w:numPr>
        <w:tabs>
          <w:tab w:val="left" w:pos="583"/>
        </w:tabs>
        <w:spacing w:before="240"/>
        <w:ind w:hanging="359"/>
      </w:pPr>
      <w:r w:rsidRPr="00491F97">
        <w:rPr>
          <w:u w:val="single"/>
        </w:rPr>
        <w:t>Cabinet noted</w:t>
      </w:r>
      <w:r>
        <w:t xml:space="preserve"> </w:t>
      </w:r>
      <w:r w:rsidRPr="00491F97">
        <w:t xml:space="preserve">the report of the review undertaken by the Inspector-General of Emergency Management </w:t>
      </w:r>
      <w:r>
        <w:t>‘</w:t>
      </w:r>
      <w:r w:rsidRPr="00491F97">
        <w:t>South East Queensland Rainfall and Flooding Event February-March 2022 Review Report 1: 2022-23</w:t>
      </w:r>
      <w:r>
        <w:t>’</w:t>
      </w:r>
      <w:r w:rsidRPr="00491F97">
        <w:t xml:space="preserve"> and it’s public release</w:t>
      </w:r>
      <w:r>
        <w:t>.</w:t>
      </w:r>
    </w:p>
    <w:p w14:paraId="0ED3B6D2" w14:textId="33921FE4" w:rsidR="00E83DD3" w:rsidRDefault="00E8530B" w:rsidP="003157EC">
      <w:pPr>
        <w:pStyle w:val="ListParagraph"/>
        <w:numPr>
          <w:ilvl w:val="0"/>
          <w:numId w:val="1"/>
        </w:numPr>
        <w:tabs>
          <w:tab w:val="left" w:pos="583"/>
        </w:tabs>
        <w:spacing w:before="240"/>
        <w:ind w:hanging="359"/>
      </w:pPr>
      <w:r>
        <w:rPr>
          <w:u w:val="single"/>
        </w:rPr>
        <w:t xml:space="preserve">Cabinet </w:t>
      </w:r>
      <w:r w:rsidR="00491F97">
        <w:rPr>
          <w:u w:val="single"/>
        </w:rPr>
        <w:t>approved</w:t>
      </w:r>
      <w:r w:rsidR="00491F97">
        <w:t xml:space="preserve"> </w:t>
      </w:r>
      <w:r>
        <w:t>the Queensland</w:t>
      </w:r>
      <w:r>
        <w:rPr>
          <w:spacing w:val="-1"/>
        </w:rPr>
        <w:t xml:space="preserve"> </w:t>
      </w:r>
      <w:r>
        <w:t>Government Response to the South East Queensland Rainfall and Flooding Event February-March 2022 Review</w:t>
      </w:r>
      <w:r w:rsidR="00491F97">
        <w:t xml:space="preserve"> Report 1: 2022-23 and its public release</w:t>
      </w:r>
      <w:r>
        <w:t>.</w:t>
      </w:r>
    </w:p>
    <w:p w14:paraId="39BF8055" w14:textId="1F8E6E24" w:rsidR="00491F97" w:rsidRDefault="00491F97" w:rsidP="00A95EA1">
      <w:pPr>
        <w:pStyle w:val="ListParagraph"/>
        <w:numPr>
          <w:ilvl w:val="0"/>
          <w:numId w:val="1"/>
        </w:numPr>
        <w:tabs>
          <w:tab w:val="left" w:pos="583"/>
        </w:tabs>
        <w:spacing w:before="240"/>
        <w:ind w:left="578" w:right="232" w:hanging="357"/>
      </w:pPr>
      <w:r w:rsidRPr="003157EC">
        <w:rPr>
          <w:i/>
          <w:iCs/>
          <w:u w:val="single"/>
        </w:rPr>
        <w:t>Attachments</w:t>
      </w:r>
      <w:r>
        <w:t>:</w:t>
      </w:r>
    </w:p>
    <w:p w14:paraId="6C616C49" w14:textId="101D8425" w:rsidR="00D63D36" w:rsidRDefault="00DB5787" w:rsidP="00A95EA1">
      <w:pPr>
        <w:pStyle w:val="ListParagraph"/>
        <w:numPr>
          <w:ilvl w:val="0"/>
          <w:numId w:val="2"/>
        </w:numPr>
        <w:tabs>
          <w:tab w:val="left" w:pos="583"/>
        </w:tabs>
        <w:spacing w:before="120"/>
        <w:ind w:left="941" w:right="232" w:hanging="357"/>
      </w:pPr>
      <w:hyperlink r:id="rId9" w:history="1">
        <w:r w:rsidR="00D63D36" w:rsidRPr="00110964">
          <w:rPr>
            <w:rStyle w:val="Hyperlink"/>
          </w:rPr>
          <w:t>Queensland Government Response to the South East Queensland Rainfall and Flooding Event February-March 2022 Review Report 1: 2022-23</w:t>
        </w:r>
      </w:hyperlink>
    </w:p>
    <w:p w14:paraId="4570F212" w14:textId="6C2CA03C" w:rsidR="00491F97" w:rsidRPr="009F1782" w:rsidRDefault="00DB5787" w:rsidP="00A95EA1">
      <w:pPr>
        <w:pStyle w:val="ListParagraph"/>
        <w:numPr>
          <w:ilvl w:val="0"/>
          <w:numId w:val="2"/>
        </w:numPr>
        <w:tabs>
          <w:tab w:val="left" w:pos="583"/>
        </w:tabs>
        <w:spacing w:before="120"/>
        <w:ind w:left="941" w:right="232" w:hanging="357"/>
        <w:rPr>
          <w:rStyle w:val="Hyperlink"/>
          <w:color w:val="auto"/>
          <w:u w:val="none"/>
        </w:rPr>
      </w:pPr>
      <w:hyperlink r:id="rId10" w:history="1">
        <w:r w:rsidR="00D63D36" w:rsidRPr="00110964">
          <w:rPr>
            <w:rStyle w:val="Hyperlink"/>
          </w:rPr>
          <w:t>South East Queensland Rainfall and Flooding Event February-March 2022 Review Report 1: 2022-23</w:t>
        </w:r>
      </w:hyperlink>
    </w:p>
    <w:p w14:paraId="5512F057" w14:textId="77777777" w:rsidR="009F1782" w:rsidRDefault="009F1782" w:rsidP="009F1782">
      <w:pPr>
        <w:pStyle w:val="ListParagraph"/>
        <w:tabs>
          <w:tab w:val="left" w:pos="583"/>
        </w:tabs>
        <w:spacing w:before="120"/>
        <w:ind w:left="941" w:right="232" w:firstLine="0"/>
      </w:pPr>
    </w:p>
    <w:sectPr w:rsidR="009F1782" w:rsidSect="00491F97">
      <w:headerReference w:type="even" r:id="rId11"/>
      <w:headerReference w:type="default" r:id="rId12"/>
      <w:headerReference w:type="first" r:id="rId13"/>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1A6C" w14:textId="77777777" w:rsidR="006356AE" w:rsidRDefault="006356AE" w:rsidP="00491F97">
      <w:r>
        <w:separator/>
      </w:r>
    </w:p>
  </w:endnote>
  <w:endnote w:type="continuationSeparator" w:id="0">
    <w:p w14:paraId="43AF8727" w14:textId="77777777" w:rsidR="006356AE" w:rsidRDefault="006356AE" w:rsidP="00491F97">
      <w:r>
        <w:continuationSeparator/>
      </w:r>
    </w:p>
  </w:endnote>
  <w:endnote w:type="continuationNotice" w:id="1">
    <w:p w14:paraId="2D4995AF" w14:textId="77777777" w:rsidR="006356AE" w:rsidRDefault="00635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D7E7" w14:textId="77777777" w:rsidR="006356AE" w:rsidRDefault="006356AE" w:rsidP="00491F97">
      <w:r>
        <w:separator/>
      </w:r>
    </w:p>
  </w:footnote>
  <w:footnote w:type="continuationSeparator" w:id="0">
    <w:p w14:paraId="25180C19" w14:textId="77777777" w:rsidR="006356AE" w:rsidRDefault="006356AE" w:rsidP="00491F97">
      <w:r>
        <w:continuationSeparator/>
      </w:r>
    </w:p>
  </w:footnote>
  <w:footnote w:type="continuationNotice" w:id="1">
    <w:p w14:paraId="38519844" w14:textId="77777777" w:rsidR="006356AE" w:rsidRDefault="00635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632F" w14:textId="7D01C39B" w:rsidR="00DB5787" w:rsidRDefault="00DB5787">
    <w:pPr>
      <w:pStyle w:val="Header"/>
    </w:pPr>
    <w:r>
      <w:rPr>
        <w:noProof/>
      </w:rPr>
      <mc:AlternateContent>
        <mc:Choice Requires="wps">
          <w:drawing>
            <wp:anchor distT="0" distB="0" distL="0" distR="0" simplePos="0" relativeHeight="251659264" behindDoc="0" locked="0" layoutInCell="1" allowOverlap="1" wp14:anchorId="47BA133C" wp14:editId="2CF6D48D">
              <wp:simplePos x="635" y="635"/>
              <wp:positionH relativeFrom="page">
                <wp:align>center</wp:align>
              </wp:positionH>
              <wp:positionV relativeFrom="page">
                <wp:align>top</wp:align>
              </wp:positionV>
              <wp:extent cx="443865" cy="443865"/>
              <wp:effectExtent l="0" t="0" r="14605" b="13970"/>
              <wp:wrapNone/>
              <wp:docPr id="122363118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EF39A" w14:textId="6534498A"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BA133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5DEF39A" w14:textId="6534498A"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6FB5" w14:textId="34700C34" w:rsidR="00491F97" w:rsidRPr="00937A4A" w:rsidRDefault="00DB5787" w:rsidP="00491F97">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Pr>
        <w:b/>
        <w:noProof/>
        <w:sz w:val="28"/>
      </w:rPr>
      <mc:AlternateContent>
        <mc:Choice Requires="wps">
          <w:drawing>
            <wp:anchor distT="0" distB="0" distL="0" distR="0" simplePos="0" relativeHeight="251660288" behindDoc="0" locked="0" layoutInCell="1" allowOverlap="1" wp14:anchorId="4990F56A" wp14:editId="17D30280">
              <wp:simplePos x="635" y="635"/>
              <wp:positionH relativeFrom="page">
                <wp:align>center</wp:align>
              </wp:positionH>
              <wp:positionV relativeFrom="page">
                <wp:align>top</wp:align>
              </wp:positionV>
              <wp:extent cx="443865" cy="443865"/>
              <wp:effectExtent l="0" t="0" r="14605" b="13970"/>
              <wp:wrapNone/>
              <wp:docPr id="167425749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B208A2" w14:textId="1B021BA6"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90F56A"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AB208A2" w14:textId="1B021BA6"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v:textbox>
              <w10:wrap anchorx="page" anchory="page"/>
            </v:shape>
          </w:pict>
        </mc:Fallback>
      </mc:AlternateContent>
    </w:r>
    <w:r w:rsidR="00491F97" w:rsidRPr="00937A4A">
      <w:rPr>
        <w:b/>
        <w:sz w:val="28"/>
      </w:rPr>
      <w:t>Queensland Government</w:t>
    </w:r>
  </w:p>
  <w:p w14:paraId="1C795A88" w14:textId="77777777" w:rsidR="00491F97" w:rsidRPr="00937A4A" w:rsidRDefault="00491F97" w:rsidP="00491F9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692DCD5" w14:textId="28749E9B" w:rsidR="00491F97" w:rsidRPr="00937A4A" w:rsidRDefault="00491F97" w:rsidP="00491F9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September 2022</w:t>
    </w:r>
  </w:p>
  <w:p w14:paraId="7B2ED7E1" w14:textId="59CAC91D" w:rsidR="00491F97" w:rsidRDefault="003157EC" w:rsidP="00A95EA1">
    <w:pPr>
      <w:pStyle w:val="Header"/>
      <w:spacing w:before="120"/>
      <w:jc w:val="both"/>
      <w:rPr>
        <w:b/>
        <w:u w:val="single"/>
      </w:rPr>
    </w:pPr>
    <w:r>
      <w:rPr>
        <w:b/>
        <w:u w:val="single"/>
      </w:rPr>
      <w:t>Queensland</w:t>
    </w:r>
    <w:r>
      <w:rPr>
        <w:b/>
        <w:spacing w:val="-4"/>
        <w:u w:val="single"/>
      </w:rPr>
      <w:t xml:space="preserve"> </w:t>
    </w:r>
    <w:r>
      <w:rPr>
        <w:b/>
        <w:u w:val="single"/>
      </w:rPr>
      <w:t>Government</w:t>
    </w:r>
    <w:r>
      <w:rPr>
        <w:b/>
        <w:spacing w:val="-5"/>
        <w:u w:val="single"/>
      </w:rPr>
      <w:t xml:space="preserve"> </w:t>
    </w:r>
    <w:r>
      <w:rPr>
        <w:b/>
        <w:u w:val="single"/>
      </w:rPr>
      <w:t>response</w:t>
    </w:r>
    <w:r>
      <w:rPr>
        <w:b/>
        <w:spacing w:val="-4"/>
        <w:u w:val="single"/>
      </w:rPr>
      <w:t xml:space="preserve"> </w:t>
    </w:r>
    <w:r>
      <w:rPr>
        <w:b/>
        <w:u w:val="single"/>
      </w:rPr>
      <w:t>to</w:t>
    </w:r>
    <w:r>
      <w:rPr>
        <w:b/>
        <w:spacing w:val="-4"/>
        <w:u w:val="single"/>
      </w:rPr>
      <w:t xml:space="preserve"> </w:t>
    </w:r>
    <w:r>
      <w:rPr>
        <w:b/>
        <w:u w:val="single"/>
      </w:rPr>
      <w:t>the</w:t>
    </w:r>
    <w:r>
      <w:rPr>
        <w:b/>
        <w:spacing w:val="-4"/>
        <w:u w:val="single"/>
      </w:rPr>
      <w:t xml:space="preserve"> </w:t>
    </w:r>
    <w:r>
      <w:rPr>
        <w:b/>
        <w:u w:val="single"/>
      </w:rPr>
      <w:t>South</w:t>
    </w:r>
    <w:r>
      <w:rPr>
        <w:b/>
        <w:spacing w:val="-4"/>
        <w:u w:val="single"/>
      </w:rPr>
      <w:t xml:space="preserve"> </w:t>
    </w:r>
    <w:r>
      <w:rPr>
        <w:b/>
        <w:u w:val="single"/>
      </w:rPr>
      <w:t>East</w:t>
    </w:r>
    <w:r>
      <w:rPr>
        <w:b/>
        <w:spacing w:val="-4"/>
        <w:u w:val="single"/>
      </w:rPr>
      <w:t xml:space="preserve"> </w:t>
    </w:r>
    <w:r>
      <w:rPr>
        <w:b/>
        <w:u w:val="single"/>
      </w:rPr>
      <w:t>Queensland</w:t>
    </w:r>
    <w:r>
      <w:rPr>
        <w:b/>
        <w:spacing w:val="-4"/>
        <w:u w:val="single"/>
      </w:rPr>
      <w:t xml:space="preserve"> </w:t>
    </w:r>
    <w:r>
      <w:rPr>
        <w:b/>
        <w:u w:val="single"/>
      </w:rPr>
      <w:t>Rainfall</w:t>
    </w:r>
    <w:r>
      <w:rPr>
        <w:b/>
        <w:spacing w:val="-4"/>
        <w:u w:val="single"/>
      </w:rPr>
      <w:t xml:space="preserve"> </w:t>
    </w:r>
    <w:r>
      <w:rPr>
        <w:b/>
        <w:u w:val="single"/>
      </w:rPr>
      <w:t>and</w:t>
    </w:r>
    <w:r>
      <w:rPr>
        <w:b/>
      </w:rPr>
      <w:t xml:space="preserve"> </w:t>
    </w:r>
    <w:r>
      <w:rPr>
        <w:b/>
        <w:u w:val="single"/>
      </w:rPr>
      <w:t>Flooding February to March 2022 Review – Report 1: 2022-2023</w:t>
    </w:r>
  </w:p>
  <w:p w14:paraId="4F1CC05C" w14:textId="46D9E4EE" w:rsidR="00491F97" w:rsidRDefault="003157EC" w:rsidP="00A95EA1">
    <w:pPr>
      <w:pStyle w:val="Header"/>
      <w:spacing w:before="120"/>
      <w:jc w:val="both"/>
      <w:rPr>
        <w:b/>
        <w:u w:val="single"/>
      </w:rPr>
    </w:pPr>
    <w:r>
      <w:rPr>
        <w:b/>
        <w:u w:val="single"/>
      </w:rPr>
      <w:t>Minister</w:t>
    </w:r>
    <w:r>
      <w:rPr>
        <w:b/>
        <w:spacing w:val="-4"/>
        <w:u w:val="single"/>
      </w:rPr>
      <w:t xml:space="preserve"> </w:t>
    </w:r>
    <w:r>
      <w:rPr>
        <w:b/>
        <w:u w:val="single"/>
      </w:rPr>
      <w:t>for</w:t>
    </w:r>
    <w:r>
      <w:rPr>
        <w:b/>
        <w:spacing w:val="-4"/>
        <w:u w:val="single"/>
      </w:rPr>
      <w:t xml:space="preserve"> </w:t>
    </w:r>
    <w:r>
      <w:rPr>
        <w:b/>
        <w:u w:val="single"/>
      </w:rPr>
      <w:t>Police</w:t>
    </w:r>
    <w:r>
      <w:rPr>
        <w:b/>
        <w:spacing w:val="-3"/>
        <w:u w:val="single"/>
      </w:rPr>
      <w:t xml:space="preserve"> </w:t>
    </w:r>
    <w:r>
      <w:rPr>
        <w:b/>
        <w:u w:val="single"/>
      </w:rPr>
      <w:t>and</w:t>
    </w:r>
    <w:r>
      <w:rPr>
        <w:b/>
        <w:spacing w:val="-3"/>
        <w:u w:val="single"/>
      </w:rPr>
      <w:t xml:space="preserve"> </w:t>
    </w:r>
    <w:r>
      <w:rPr>
        <w:b/>
        <w:u w:val="single"/>
      </w:rPr>
      <w:t>Corrective</w:t>
    </w:r>
    <w:r>
      <w:rPr>
        <w:b/>
        <w:spacing w:val="-2"/>
        <w:u w:val="single"/>
      </w:rPr>
      <w:t xml:space="preserve"> </w:t>
    </w:r>
    <w:r>
      <w:rPr>
        <w:b/>
        <w:u w:val="single"/>
      </w:rPr>
      <w:t>Services</w:t>
    </w:r>
    <w:r>
      <w:rPr>
        <w:b/>
        <w:spacing w:val="-3"/>
        <w:u w:val="single"/>
      </w:rPr>
      <w:t xml:space="preserve"> </w:t>
    </w:r>
    <w:r>
      <w:rPr>
        <w:b/>
        <w:u w:val="single"/>
      </w:rPr>
      <w:t>and</w:t>
    </w:r>
    <w:r>
      <w:rPr>
        <w:b/>
        <w:spacing w:val="-3"/>
        <w:u w:val="single"/>
      </w:rPr>
      <w:t xml:space="preserve"> </w:t>
    </w:r>
    <w:r>
      <w:rPr>
        <w:b/>
        <w:u w:val="single"/>
      </w:rPr>
      <w:t>Minister</w:t>
    </w:r>
    <w:r>
      <w:rPr>
        <w:b/>
        <w:spacing w:val="-4"/>
        <w:u w:val="single"/>
      </w:rPr>
      <w:t xml:space="preserve"> </w:t>
    </w:r>
    <w:r>
      <w:rPr>
        <w:b/>
        <w:u w:val="single"/>
      </w:rPr>
      <w:t>for</w:t>
    </w:r>
    <w:r>
      <w:rPr>
        <w:b/>
        <w:spacing w:val="-4"/>
        <w:u w:val="single"/>
      </w:rPr>
      <w:t xml:space="preserve"> </w:t>
    </w:r>
    <w:r>
      <w:rPr>
        <w:b/>
        <w:u w:val="single"/>
      </w:rPr>
      <w:t>Fire</w:t>
    </w:r>
    <w:r>
      <w:rPr>
        <w:b/>
        <w:spacing w:val="-3"/>
        <w:u w:val="single"/>
      </w:rPr>
      <w:t xml:space="preserve"> </w:t>
    </w:r>
    <w:r>
      <w:rPr>
        <w:b/>
        <w:u w:val="single"/>
      </w:rPr>
      <w:t>and</w:t>
    </w:r>
    <w:r>
      <w:rPr>
        <w:b/>
        <w:spacing w:val="-3"/>
        <w:u w:val="single"/>
      </w:rPr>
      <w:t xml:space="preserve"> </w:t>
    </w:r>
    <w:r>
      <w:rPr>
        <w:b/>
        <w:u w:val="single"/>
      </w:rPr>
      <w:t>Emergency</w:t>
    </w:r>
    <w:r>
      <w:rPr>
        <w:b/>
      </w:rPr>
      <w:t xml:space="preserve"> </w:t>
    </w:r>
    <w:r>
      <w:rPr>
        <w:b/>
        <w:spacing w:val="-2"/>
        <w:u w:val="single"/>
      </w:rPr>
      <w:t>Services</w:t>
    </w:r>
  </w:p>
  <w:p w14:paraId="1D0C595F" w14:textId="77777777" w:rsidR="00491F97" w:rsidRDefault="00491F97" w:rsidP="00491F9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05E" w14:textId="60FA81D2" w:rsidR="00DB5787" w:rsidRDefault="00DB5787">
    <w:pPr>
      <w:pStyle w:val="Header"/>
    </w:pPr>
    <w:r>
      <w:rPr>
        <w:noProof/>
      </w:rPr>
      <mc:AlternateContent>
        <mc:Choice Requires="wps">
          <w:drawing>
            <wp:anchor distT="0" distB="0" distL="0" distR="0" simplePos="0" relativeHeight="251658240" behindDoc="0" locked="0" layoutInCell="1" allowOverlap="1" wp14:anchorId="055347B5" wp14:editId="5B248B12">
              <wp:simplePos x="635" y="635"/>
              <wp:positionH relativeFrom="page">
                <wp:align>center</wp:align>
              </wp:positionH>
              <wp:positionV relativeFrom="page">
                <wp:align>top</wp:align>
              </wp:positionV>
              <wp:extent cx="443865" cy="443865"/>
              <wp:effectExtent l="0" t="0" r="14605" b="13970"/>
              <wp:wrapNone/>
              <wp:docPr id="70470837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8B1C1" w14:textId="7BE800AB"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5347B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B98B1C1" w14:textId="7BE800AB" w:rsidR="00DB5787" w:rsidRPr="00DB5787" w:rsidRDefault="00DB5787" w:rsidP="00DB5787">
                    <w:pPr>
                      <w:rPr>
                        <w:rFonts w:ascii="Calibri" w:eastAsia="Calibri" w:hAnsi="Calibri" w:cs="Calibri"/>
                        <w:noProof/>
                        <w:color w:val="008000"/>
                        <w:sz w:val="40"/>
                        <w:szCs w:val="40"/>
                      </w:rPr>
                    </w:pPr>
                    <w:r w:rsidRPr="00DB5787">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701D"/>
    <w:multiLevelType w:val="hybridMultilevel"/>
    <w:tmpl w:val="CE3AFB3E"/>
    <w:lvl w:ilvl="0" w:tplc="1DC472DE">
      <w:start w:val="1"/>
      <w:numFmt w:val="decimal"/>
      <w:lvlText w:val="%1."/>
      <w:lvlJc w:val="left"/>
      <w:pPr>
        <w:ind w:left="581" w:hanging="360"/>
      </w:pPr>
      <w:rPr>
        <w:rFonts w:ascii="Arial" w:eastAsia="Arial" w:hAnsi="Arial" w:cs="Arial" w:hint="default"/>
        <w:b w:val="0"/>
        <w:bCs w:val="0"/>
        <w:i w:val="0"/>
        <w:iCs w:val="0"/>
        <w:w w:val="99"/>
        <w:sz w:val="22"/>
        <w:szCs w:val="22"/>
        <w:lang w:val="en-US" w:eastAsia="en-US" w:bidi="ar-SA"/>
      </w:rPr>
    </w:lvl>
    <w:lvl w:ilvl="1" w:tplc="44F602F0">
      <w:numFmt w:val="bullet"/>
      <w:lvlText w:val="•"/>
      <w:lvlJc w:val="left"/>
      <w:pPr>
        <w:ind w:left="1474" w:hanging="360"/>
      </w:pPr>
      <w:rPr>
        <w:rFonts w:hint="default"/>
        <w:lang w:val="en-US" w:eastAsia="en-US" w:bidi="ar-SA"/>
      </w:rPr>
    </w:lvl>
    <w:lvl w:ilvl="2" w:tplc="2230D598">
      <w:numFmt w:val="bullet"/>
      <w:lvlText w:val="•"/>
      <w:lvlJc w:val="left"/>
      <w:pPr>
        <w:ind w:left="2369" w:hanging="360"/>
      </w:pPr>
      <w:rPr>
        <w:rFonts w:hint="default"/>
        <w:lang w:val="en-US" w:eastAsia="en-US" w:bidi="ar-SA"/>
      </w:rPr>
    </w:lvl>
    <w:lvl w:ilvl="3" w:tplc="E52E9812">
      <w:numFmt w:val="bullet"/>
      <w:lvlText w:val="•"/>
      <w:lvlJc w:val="left"/>
      <w:pPr>
        <w:ind w:left="3263" w:hanging="360"/>
      </w:pPr>
      <w:rPr>
        <w:rFonts w:hint="default"/>
        <w:lang w:val="en-US" w:eastAsia="en-US" w:bidi="ar-SA"/>
      </w:rPr>
    </w:lvl>
    <w:lvl w:ilvl="4" w:tplc="56A217A4">
      <w:numFmt w:val="bullet"/>
      <w:lvlText w:val="•"/>
      <w:lvlJc w:val="left"/>
      <w:pPr>
        <w:ind w:left="4158" w:hanging="360"/>
      </w:pPr>
      <w:rPr>
        <w:rFonts w:hint="default"/>
        <w:lang w:val="en-US" w:eastAsia="en-US" w:bidi="ar-SA"/>
      </w:rPr>
    </w:lvl>
    <w:lvl w:ilvl="5" w:tplc="6B925106">
      <w:numFmt w:val="bullet"/>
      <w:lvlText w:val="•"/>
      <w:lvlJc w:val="left"/>
      <w:pPr>
        <w:ind w:left="5053" w:hanging="360"/>
      </w:pPr>
      <w:rPr>
        <w:rFonts w:hint="default"/>
        <w:lang w:val="en-US" w:eastAsia="en-US" w:bidi="ar-SA"/>
      </w:rPr>
    </w:lvl>
    <w:lvl w:ilvl="6" w:tplc="A6F48CF0">
      <w:numFmt w:val="bullet"/>
      <w:lvlText w:val="•"/>
      <w:lvlJc w:val="left"/>
      <w:pPr>
        <w:ind w:left="5947" w:hanging="360"/>
      </w:pPr>
      <w:rPr>
        <w:rFonts w:hint="default"/>
        <w:lang w:val="en-US" w:eastAsia="en-US" w:bidi="ar-SA"/>
      </w:rPr>
    </w:lvl>
    <w:lvl w:ilvl="7" w:tplc="48DED248">
      <w:numFmt w:val="bullet"/>
      <w:lvlText w:val="•"/>
      <w:lvlJc w:val="left"/>
      <w:pPr>
        <w:ind w:left="6842" w:hanging="360"/>
      </w:pPr>
      <w:rPr>
        <w:rFonts w:hint="default"/>
        <w:lang w:val="en-US" w:eastAsia="en-US" w:bidi="ar-SA"/>
      </w:rPr>
    </w:lvl>
    <w:lvl w:ilvl="8" w:tplc="B52CD260">
      <w:numFmt w:val="bullet"/>
      <w:lvlText w:val="•"/>
      <w:lvlJc w:val="left"/>
      <w:pPr>
        <w:ind w:left="7737" w:hanging="360"/>
      </w:pPr>
      <w:rPr>
        <w:rFonts w:hint="default"/>
        <w:lang w:val="en-US" w:eastAsia="en-US" w:bidi="ar-SA"/>
      </w:rPr>
    </w:lvl>
  </w:abstractNum>
  <w:abstractNum w:abstractNumId="1" w15:restartNumberingAfterBreak="0">
    <w:nsid w:val="6F1B2C94"/>
    <w:multiLevelType w:val="hybridMultilevel"/>
    <w:tmpl w:val="A79A2DE6"/>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num w:numId="1" w16cid:durableId="442696404">
    <w:abstractNumId w:val="0"/>
  </w:num>
  <w:num w:numId="2" w16cid:durableId="110855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3"/>
    <w:rsid w:val="00080CE7"/>
    <w:rsid w:val="00110964"/>
    <w:rsid w:val="003157EC"/>
    <w:rsid w:val="00491F97"/>
    <w:rsid w:val="00520E8D"/>
    <w:rsid w:val="006356AE"/>
    <w:rsid w:val="007666B7"/>
    <w:rsid w:val="009F1782"/>
    <w:rsid w:val="00A95EA1"/>
    <w:rsid w:val="00D63D36"/>
    <w:rsid w:val="00DB03C5"/>
    <w:rsid w:val="00DB5787"/>
    <w:rsid w:val="00E83DD3"/>
    <w:rsid w:val="00E8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7"/>
      <w:ind w:left="404" w:right="301"/>
      <w:jc w:val="center"/>
    </w:pPr>
    <w:rPr>
      <w:b/>
      <w:bCs/>
      <w:sz w:val="56"/>
      <w:szCs w:val="56"/>
    </w:rPr>
  </w:style>
  <w:style w:type="paragraph" w:styleId="ListParagraph">
    <w:name w:val="List Paragraph"/>
    <w:basedOn w:val="Normal"/>
    <w:uiPriority w:val="1"/>
    <w:qFormat/>
    <w:pPr>
      <w:ind w:left="581" w:right="230"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491F97"/>
    <w:pPr>
      <w:widowControl/>
      <w:autoSpaceDE/>
      <w:autoSpaceDN/>
    </w:pPr>
    <w:rPr>
      <w:rFonts w:ascii="Arial" w:eastAsia="Arial" w:hAnsi="Arial" w:cs="Arial"/>
    </w:rPr>
  </w:style>
  <w:style w:type="paragraph" w:styleId="Header">
    <w:name w:val="header"/>
    <w:basedOn w:val="Normal"/>
    <w:link w:val="HeaderChar"/>
    <w:uiPriority w:val="99"/>
    <w:unhideWhenUsed/>
    <w:rsid w:val="00491F97"/>
    <w:pPr>
      <w:tabs>
        <w:tab w:val="center" w:pos="4680"/>
        <w:tab w:val="right" w:pos="9360"/>
      </w:tabs>
    </w:pPr>
  </w:style>
  <w:style w:type="character" w:customStyle="1" w:styleId="HeaderChar">
    <w:name w:val="Header Char"/>
    <w:basedOn w:val="DefaultParagraphFont"/>
    <w:link w:val="Header"/>
    <w:uiPriority w:val="99"/>
    <w:rsid w:val="00491F97"/>
    <w:rPr>
      <w:rFonts w:ascii="Arial" w:eastAsia="Arial" w:hAnsi="Arial" w:cs="Arial"/>
    </w:rPr>
  </w:style>
  <w:style w:type="paragraph" w:styleId="Footer">
    <w:name w:val="footer"/>
    <w:basedOn w:val="Normal"/>
    <w:link w:val="FooterChar"/>
    <w:uiPriority w:val="99"/>
    <w:unhideWhenUsed/>
    <w:rsid w:val="00491F97"/>
    <w:pPr>
      <w:tabs>
        <w:tab w:val="center" w:pos="4680"/>
        <w:tab w:val="right" w:pos="9360"/>
      </w:tabs>
    </w:pPr>
  </w:style>
  <w:style w:type="character" w:customStyle="1" w:styleId="FooterChar">
    <w:name w:val="Footer Char"/>
    <w:basedOn w:val="DefaultParagraphFont"/>
    <w:link w:val="Footer"/>
    <w:uiPriority w:val="99"/>
    <w:rsid w:val="00491F97"/>
    <w:rPr>
      <w:rFonts w:ascii="Arial" w:eastAsia="Arial" w:hAnsi="Arial" w:cs="Arial"/>
    </w:rPr>
  </w:style>
  <w:style w:type="character" w:styleId="Hyperlink">
    <w:name w:val="Hyperlink"/>
    <w:basedOn w:val="DefaultParagraphFont"/>
    <w:uiPriority w:val="99"/>
    <w:unhideWhenUsed/>
    <w:rsid w:val="00D63D36"/>
    <w:rPr>
      <w:color w:val="0000FF"/>
      <w:u w:val="single"/>
    </w:rPr>
  </w:style>
  <w:style w:type="character" w:styleId="FollowedHyperlink">
    <w:name w:val="FollowedHyperlink"/>
    <w:basedOn w:val="DefaultParagraphFont"/>
    <w:uiPriority w:val="99"/>
    <w:semiHidden/>
    <w:unhideWhenUsed/>
    <w:rsid w:val="007666B7"/>
    <w:rPr>
      <w:color w:val="800080" w:themeColor="followedHyperlink"/>
      <w:u w:val="single"/>
    </w:rPr>
  </w:style>
  <w:style w:type="character" w:styleId="UnresolvedMention">
    <w:name w:val="Unresolved Mention"/>
    <w:basedOn w:val="DefaultParagraphFont"/>
    <w:uiPriority w:val="99"/>
    <w:semiHidden/>
    <w:unhideWhenUsed/>
    <w:rsid w:val="00110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pcqld.sharepoint.com/sites/DPC-CABINETSERVICES/Shared%20Documents/General/Proactive%20Release/ToBeProcessed/2022/Sep/QGRespSEQRainfall/Attachments/Report.PDF" TargetMode="External"/><Relationship Id="rId4" Type="http://schemas.openxmlformats.org/officeDocument/2006/relationships/styles" Target="styles.xml"/><Relationship Id="rId9" Type="http://schemas.openxmlformats.org/officeDocument/2006/relationships/hyperlink" Target="https://dpcqld.sharepoint.com/sites/DPC-CABINETSERVICES/Shared%20Documents/General/Proactive%20Release/ToBeProcessed/2022/Sep/QGRespSEQRainfall/Attachments/Respon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FAAD1-44B0-4A8A-85F0-2FD257BCECE4}">
  <ds:schemaRefs>
    <ds:schemaRef ds:uri="http://schemas.microsoft.com/sharepoint/v3/contenttype/forms"/>
  </ds:schemaRefs>
</ds:datastoreItem>
</file>

<file path=customXml/itemProps2.xml><?xml version="1.0" encoding="utf-8"?>
<ds:datastoreItem xmlns:ds="http://schemas.openxmlformats.org/officeDocument/2006/customXml" ds:itemID="{3D330ABB-489A-4ED9-9A7C-1AFC888E7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456</Words>
  <Characters>2628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Base>https://www.cabinet.qld.gov.au/documents/2022/Sep/QGRespSEQRainfall/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7</cp:revision>
  <dcterms:created xsi:type="dcterms:W3CDTF">2023-01-04T04:10:00Z</dcterms:created>
  <dcterms:modified xsi:type="dcterms:W3CDTF">2023-08-03T22:32:00Z</dcterms:modified>
  <cp:category>Disaster_Management,Emergency_Services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0x01010007AF15524DDEEB45A1305D8E6E9A2FBB</vt:lpwstr>
  </property>
  <property fmtid="{D5CDD505-2E9C-101B-9397-08002B2CF9AE}" pid="3" name="Created">
    <vt:filetime>2022-09-09T00:00:00Z</vt:filetime>
  </property>
  <property fmtid="{D5CDD505-2E9C-101B-9397-08002B2CF9AE}" pid="4" name="Creator">
    <vt:lpwstr>Acrobat PDFMaker 22 for Word</vt:lpwstr>
  </property>
  <property fmtid="{D5CDD505-2E9C-101B-9397-08002B2CF9AE}" pid="5" name="LastSaved">
    <vt:filetime>2022-09-09T00:00:00Z</vt:filetime>
  </property>
  <property fmtid="{D5CDD505-2E9C-101B-9397-08002B2CF9AE}" pid="6" name="Producer">
    <vt:lpwstr>Adobe PDF Library 22.2.223</vt:lpwstr>
  </property>
  <property fmtid="{D5CDD505-2E9C-101B-9397-08002B2CF9AE}" pid="7" name="SourceModified">
    <vt:lpwstr>D:20220909060711</vt:lpwstr>
  </property>
  <property fmtid="{D5CDD505-2E9C-101B-9397-08002B2CF9AE}" pid="8" name="ClassificationContentMarkingHeaderShapeIds">
    <vt:lpwstr>2a00ff13,48ef214f,63cb2458</vt:lpwstr>
  </property>
  <property fmtid="{D5CDD505-2E9C-101B-9397-08002B2CF9AE}" pid="9" name="ClassificationContentMarkingHeaderFontProps">
    <vt:lpwstr>#008000,20,Calibri</vt:lpwstr>
  </property>
  <property fmtid="{D5CDD505-2E9C-101B-9397-08002B2CF9AE}" pid="10" name="ClassificationContentMarkingHeaderText">
    <vt:lpwstr>OFFICIAL</vt:lpwstr>
  </property>
  <property fmtid="{D5CDD505-2E9C-101B-9397-08002B2CF9AE}" pid="11" name="MSIP_Label_dbba12b5-5c44-45c1-8d23-ce231b9c6da8_Enabled">
    <vt:lpwstr>true</vt:lpwstr>
  </property>
  <property fmtid="{D5CDD505-2E9C-101B-9397-08002B2CF9AE}" pid="12" name="MSIP_Label_dbba12b5-5c44-45c1-8d23-ce231b9c6da8_SetDate">
    <vt:lpwstr>2023-08-03T22:32:09Z</vt:lpwstr>
  </property>
  <property fmtid="{D5CDD505-2E9C-101B-9397-08002B2CF9AE}" pid="13" name="MSIP_Label_dbba12b5-5c44-45c1-8d23-ce231b9c6da8_Method">
    <vt:lpwstr>Standard</vt:lpwstr>
  </property>
  <property fmtid="{D5CDD505-2E9C-101B-9397-08002B2CF9AE}" pid="14" name="MSIP_Label_dbba12b5-5c44-45c1-8d23-ce231b9c6da8_Name">
    <vt:lpwstr>OFFICIAL-PILOT</vt:lpwstr>
  </property>
  <property fmtid="{D5CDD505-2E9C-101B-9397-08002B2CF9AE}" pid="15" name="MSIP_Label_dbba12b5-5c44-45c1-8d23-ce231b9c6da8_SiteId">
    <vt:lpwstr>51778d2a-a6ab-4c76-97dc-782782d65046</vt:lpwstr>
  </property>
  <property fmtid="{D5CDD505-2E9C-101B-9397-08002B2CF9AE}" pid="16" name="MSIP_Label_dbba12b5-5c44-45c1-8d23-ce231b9c6da8_ActionId">
    <vt:lpwstr>4057bfdb-0b98-4f8a-ae3f-ecb4e0a3fede</vt:lpwstr>
  </property>
  <property fmtid="{D5CDD505-2E9C-101B-9397-08002B2CF9AE}" pid="17" name="MSIP_Label_dbba12b5-5c44-45c1-8d23-ce231b9c6da8_ContentBits">
    <vt:lpwstr>1</vt:lpwstr>
  </property>
</Properties>
</file>